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2438400"/>
            <wp:effectExtent l="0" t="0" r="0" b="0"/>
            <wp:wrapSquare wrapText="largest"/>
            <wp:docPr id="1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17</w:t>
      </w:r>
      <w:r>
        <w:rPr>
          <w:rFonts w:ascii="Times New Roman" w:hAnsi="Times New Roman"/>
          <w:sz w:val="28"/>
          <w:szCs w:val="26"/>
        </w:rPr>
        <w:t>.11.202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3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безопасности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 xml:space="preserve">- начальник отдела управления персоналом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-начальник отдела информационной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>безопасности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Слушали</w:t>
      </w:r>
      <w:r>
        <w:rPr>
          <w:rFonts w:ascii="Times New Roman" w:hAnsi="Times New Roman"/>
          <w:sz w:val="28"/>
          <w:szCs w:val="26"/>
        </w:rPr>
        <w:t>:</w:t>
        <w:tab/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редседателя Комиссии  по вопросу об осуществлении регулярного контроля соблюдения внутренних процедур. Замечаний не выявлено. 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/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>
      <w:pPr>
        <w:pStyle w:val="ListParagraph"/>
        <w:numPr>
          <w:ilvl w:val="0"/>
          <w:numId w:val="1"/>
        </w:numPr>
        <w:spacing w:before="0" w:after="0"/>
        <w:ind w:firstLine="851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По вопросу о проведении обучающих мероприятий, члена комиссии Козлову А.Г.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</w:t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1. По всем рассмотренным вопросам информацию принять к сведению.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2. Результаты работы утвердить.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>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</w:r>
      <w:r>
        <w:rPr>
          <w:rFonts w:ascii="Times New Roman" w:hAnsi="Times New Roman"/>
          <w:sz w:val="28"/>
          <w:szCs w:val="26"/>
        </w:rPr>
        <w:tab/>
        <w:tab/>
        <w:tab/>
        <w:t>____________________</w:t>
      </w:r>
    </w:p>
    <w:sectPr>
      <w:footerReference w:type="default" r:id="rId3"/>
      <w:type w:val="nextPage"/>
      <w:pgSz w:w="11906" w:h="16838"/>
      <w:pgMar w:left="1134" w:right="567" w:gutter="0" w:header="0" w:top="567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Application>LibreOffice/7.6.2.1$Windows_X86_64 LibreOffice_project/56f7684011345957bbf33a7ee678afaf4d2ba333</Application>
  <AppVersion>15.0000</AppVersion>
  <Pages>2</Pages>
  <Words>180</Words>
  <Characters>1505</Characters>
  <CharactersWithSpaces>1733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2025-04-02T09:32:38Z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