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2145665</wp:posOffset>
            </wp:positionH>
            <wp:positionV relativeFrom="page">
              <wp:posOffset>219075</wp:posOffset>
            </wp:positionV>
            <wp:extent cx="3282950" cy="1799590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</w:r>
    </w:p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28"/>
          <w:szCs w:val="28"/>
        </w:rPr>
      </w:pPr>
      <w:r>
        <w:rPr>
          <w:rFonts w:cs="Times New Roman" w:ascii="Muller Medium" w:hAnsi="Muller Medium"/>
          <w:sz w:val="28"/>
          <w:szCs w:val="28"/>
        </w:rPr>
      </w:r>
    </w:p>
    <w:p>
      <w:pPr>
        <w:pStyle w:val="ConsPlusNormal"/>
        <w:widowControl/>
        <w:spacing w:before="60" w:after="0"/>
        <w:ind w:hanging="0" w:left="-567"/>
        <w:jc w:val="center"/>
        <w:rPr>
          <w:rFonts w:ascii="Muller Bold" w:hAnsi="Muller Bold" w:cs="Times New Roman"/>
          <w:sz w:val="32"/>
          <w:szCs w:val="32"/>
        </w:rPr>
      </w:pPr>
      <w:r>
        <w:rPr>
          <w:rFonts w:cs="Times New Roman" w:ascii="Muller Bold" w:hAnsi="Muller Bold"/>
          <w:sz w:val="32"/>
          <w:szCs w:val="32"/>
        </w:rPr>
        <w:t>АКЦИОНЕРНОЕ ОБЩЕСТВО</w:t>
      </w:r>
    </w:p>
    <w:p>
      <w:pPr>
        <w:pStyle w:val="Normal"/>
        <w:numPr>
          <w:ilvl w:val="0"/>
          <w:numId w:val="0"/>
        </w:numPr>
        <w:spacing w:lineRule="auto" w:line="240" w:before="60" w:after="0"/>
        <w:ind w:hanging="0" w:left="-567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>
        <w:rPr>
          <w:rFonts w:cs="Times New Roman" w:ascii="Muller Bold" w:hAnsi="Muller Bold"/>
          <w:bCs/>
          <w:sz w:val="30"/>
          <w:szCs w:val="30"/>
        </w:rPr>
        <w:t>«САМАРСКАЯ РЕГИОНАЛЬНАЯ ЭНЕРГЕТИЧЕСКАЯ КОРПОРАЦИЯ»</w:t>
      </w:r>
    </w:p>
    <w:p>
      <w:pPr>
        <w:pStyle w:val="Normal"/>
        <w:numPr>
          <w:ilvl w:val="0"/>
          <w:numId w:val="0"/>
        </w:numPr>
        <w:spacing w:before="60" w:after="0"/>
        <w:ind w:hanging="0" w:left="-567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>Юр. адрес: 443072 Самарская область, г. Самара, территория Опытная Станция по Садоводству, Здание 11А, офис 5</w:t>
      </w:r>
    </w:p>
    <w:p>
      <w:pPr>
        <w:pStyle w:val="Normal"/>
        <w:numPr>
          <w:ilvl w:val="0"/>
          <w:numId w:val="0"/>
        </w:numPr>
        <w:spacing w:before="0" w:after="0"/>
        <w:ind w:hanging="0" w:left="-567"/>
        <w:jc w:val="center"/>
        <w:outlineLvl w:val="0"/>
        <w:rPr>
          <w:rFonts w:ascii="Muller Bold" w:hAnsi="Muller Bold" w:eastAsia="Calibri" w:cs="Times New Roman"/>
          <w:sz w:val="18"/>
          <w:szCs w:val="18"/>
          <w:lang w:eastAsia="en-US"/>
        </w:rPr>
      </w:pPr>
      <w:r>
        <w:rPr>
          <w:rFonts w:eastAsia="Calibri" w:cs="Times New Roman" w:ascii="Muller Bold" w:hAnsi="Muller Bold"/>
          <w:sz w:val="18"/>
          <w:szCs w:val="18"/>
          <w:lang w:eastAsia="en-US"/>
        </w:rPr>
        <w:t xml:space="preserve">Почтовый адрес: 443080, г. Самара, Московское шоссе, 55, оф. 212, тел./ факс (846) 212-02-77 </w:t>
      </w:r>
    </w:p>
    <w:p>
      <w:pPr>
        <w:pStyle w:val="Normal"/>
        <w:ind w:hanging="0" w:left="-567"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en-US"/>
        </w:rPr>
      </w:r>
    </w:p>
    <w:p>
      <w:pPr>
        <w:pStyle w:val="ConsPlusNormal"/>
        <w:widowControl/>
        <w:ind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Calibri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Протокол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31</w:t>
      </w:r>
      <w:r>
        <w:rPr>
          <w:rFonts w:ascii="Times New Roman" w:hAnsi="Times New Roman"/>
          <w:sz w:val="28"/>
          <w:szCs w:val="26"/>
        </w:rPr>
        <w:t>.03.202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3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 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Присутствовали члены комиссии: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внутреннего контроля и аудита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организации торгов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представитель Министерства энергетики и жилищно-коммунального хозяйства Самарской области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 xml:space="preserve">- начальник отдела управления персоналом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Секретарь комиссии 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 xml:space="preserve">-начальник отдела информационной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6"/>
          <w:lang w:val="ru-RU" w:eastAsia="ru-RU" w:bidi="ar-SA"/>
        </w:rPr>
        <w:t>безопасности</w:t>
      </w:r>
      <w:r>
        <w:rPr>
          <w:rFonts w:cs="Times New Roman" w:ascii="Times New Roman" w:hAnsi="Times New Roman"/>
          <w:sz w:val="28"/>
          <w:szCs w:val="2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ab/>
        <w:t>Приглашенные: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главный бухгалтер отдела бухгалтерского учета и налогообложения </w:t>
      </w:r>
    </w:p>
    <w:p>
      <w:pPr>
        <w:pStyle w:val="Normal"/>
        <w:tabs>
          <w:tab w:val="clear" w:pos="708"/>
          <w:tab w:val="left" w:pos="709" w:leader="none"/>
          <w:tab w:val="left" w:pos="1418" w:leader="none"/>
          <w:tab w:val="left" w:pos="6465" w:leader="none"/>
        </w:tabs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Слушали:</w:t>
        <w:tab/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Председателя Комиссии  об осуществлении регулярного контроля соблюдения внутренних процедур. Замечаний не выявлено.</w:t>
      </w:r>
      <w:r>
        <w:rPr>
          <w:rFonts w:ascii="Times New Roman" w:hAnsi="Times New Roman"/>
          <w:sz w:val="28"/>
          <w:szCs w:val="26"/>
        </w:rPr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Приглашённое лицо - главного бухгалтера Рассматривались вопросы по осуществлению регулярного контроля данных бухгалтерского учета, наличия и достоверности первичных документов бухгалтерского учета. По контролю за первичными документами бухгалтерского учета замечаний не выявлено. Результаты аудита акционерного общества за 202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6"/>
        </w:rPr>
        <w:t xml:space="preserve"> год — положительные.</w:t>
      </w:r>
    </w:p>
    <w:p>
      <w:pPr>
        <w:pStyle w:val="ListParagraph"/>
        <w:numPr>
          <w:ilvl w:val="0"/>
          <w:numId w:val="1"/>
        </w:numPr>
        <w:spacing w:before="0" w:after="0"/>
        <w:ind w:firstLine="567" w:left="142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Председателя Комиссии  - о</w:t>
      </w:r>
      <w:r>
        <w:rPr>
          <w:rFonts w:ascii="Times New Roman" w:hAnsi="Times New Roman"/>
          <w:sz w:val="28"/>
          <w:szCs w:val="26"/>
        </w:rPr>
        <w:t>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>
      <w:pPr>
        <w:pStyle w:val="ListParagraph"/>
        <w:numPr>
          <w:ilvl w:val="0"/>
          <w:numId w:val="1"/>
        </w:numPr>
        <w:spacing w:before="0" w:after="0"/>
        <w:ind w:firstLine="567" w:left="142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Члена комиссии  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 </w:t>
      </w:r>
    </w:p>
    <w:p>
      <w:pPr>
        <w:pStyle w:val="ListParagraph"/>
        <w:numPr>
          <w:ilvl w:val="0"/>
          <w:numId w:val="1"/>
        </w:numPr>
        <w:spacing w:before="0" w:after="0"/>
        <w:ind w:firstLine="567" w:left="142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Секретаря комиссии  о наполнении раздела «Противодействие коррупции» на новом официальном сайте организации, во исполнение пункта 4 Протокола заседания комиссии  по противодействию коррупции в сфере деятельности министерства энергетики и жилищно-коммунального хозяйства Самарской области. Раздел наполнен информацией, замечаний нет.</w:t>
      </w:r>
    </w:p>
    <w:p>
      <w:pPr>
        <w:pStyle w:val="ListParagraph"/>
        <w:numPr>
          <w:ilvl w:val="0"/>
          <w:numId w:val="0"/>
        </w:numPr>
        <w:spacing w:before="0" w:after="0"/>
        <w:ind w:hanging="0" w:left="106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>
        <w:rPr>
          <w:rFonts w:ascii="Times New Roman" w:hAnsi="Times New Roman"/>
          <w:sz w:val="28"/>
          <w:szCs w:val="26"/>
        </w:rPr>
        <w:t>1. По всем рассмотренным вопросам информацию принять к сведению.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</w:t>
      </w:r>
      <w:r>
        <w:rPr>
          <w:rFonts w:ascii="Times New Roman" w:hAnsi="Times New Roman"/>
          <w:sz w:val="28"/>
          <w:szCs w:val="26"/>
        </w:rPr>
        <w:t>2. Результаты работы утвердить.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  <w:tab/>
        <w:tab/>
        <w:tab/>
        <w:t xml:space="preserve">    </w:t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</w:r>
      <w:r>
        <w:rPr>
          <w:rFonts w:ascii="Times New Roman" w:hAnsi="Times New Roman"/>
          <w:sz w:val="28"/>
          <w:szCs w:val="26"/>
        </w:rPr>
        <w:tab/>
        <w:tab/>
        <w:tab/>
        <w:t>____________________</w:t>
      </w:r>
    </w:p>
    <w:sectPr>
      <w:footerReference w:type="default" r:id="rId3"/>
      <w:type w:val="nextPage"/>
      <w:pgSz w:w="11906" w:h="16838"/>
      <w:pgMar w:left="1134" w:right="567" w:gutter="0" w:header="0" w:top="567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-Identity-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Muller Medium">
    <w:charset w:val="cc"/>
    <w:family w:val="roman"/>
    <w:pitch w:val="variable"/>
  </w:font>
  <w:font w:name="Muller Bold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aa6205"/>
    <w:rPr>
      <w:rFonts w:ascii="Calibri" w:hAnsi="Calibri" w:eastAsia="Times New Roman" w:cs="Calibri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97ab4"/>
    <w:rPr>
      <w:rFonts w:ascii="Calibri" w:hAnsi="Calibri" w:eastAsia="Times New Roman" w:cs="Calibri"/>
      <w:lang w:eastAsia="ru-RU"/>
    </w:rPr>
  </w:style>
  <w:style w:type="character" w:styleId="Fontstyle01" w:customStyle="1">
    <w:name w:val="fontstyle01"/>
    <w:basedOn w:val="DefaultParagraphFont"/>
    <w:qFormat/>
    <w:rsid w:val="00d546af"/>
    <w:rPr>
      <w:rFonts w:ascii="Tahoma-Identity-H" w:hAnsi="Tahoma-Identity-H"/>
      <w:b w:val="false"/>
      <w:bCs w:val="false"/>
      <w:i w:val="false"/>
      <w:iCs w:val="false"/>
      <w:color w:val="1B1C20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unhideWhenUsed/>
    <w:rsid w:val="00aa62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aa620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unhideWhenUsed/>
    <w:rsid w:val="00797a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Application>LibreOffice/7.6.2.1$Windows_X86_64 LibreOffice_project/56f7684011345957bbf33a7ee678afaf4d2ba333</Application>
  <AppVersion>15.0000</AppVersion>
  <Pages>2</Pages>
  <Words>299</Words>
  <Characters>2408</Characters>
  <CharactersWithSpaces>2755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2021-08-26T09:18:00Z</dcterms:created>
  <dc:creator>Солкина В.В.</dc:creator>
  <dc:description/>
  <dc:language>ru-RU</dc:language>
  <cp:lastModifiedBy/>
  <cp:lastPrinted>2021-08-25T09:36:00Z</cp:lastPrinted>
  <dcterms:modified xsi:type="dcterms:W3CDTF">2025-04-02T09:35:10Z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