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8"/>
        <w:widowControl w:val="true"/>
        <w:pBdr/>
        <w:spacing/>
        <w:ind w:firstLine="0" w:left="-567"/>
        <w:jc w:val="center"/>
        <w:rPr>
          <w:rFonts w:ascii="Muller Medium" w:hAnsi="Muller Medium" w:cs="Times New Roman"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9525</wp:posOffset>
                </wp:positionV>
                <wp:extent cx="3369310" cy="1799590"/>
                <wp:effectExtent l="0" t="0" r="2540" b="0"/>
                <wp:wrapNone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36931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9264;o:allowoverlap:true;o:allowincell:true;mso-position-horizontal-relative:page;mso-position-horizontal:center;mso-position-vertical-relative:margin;margin-top:0.75pt;mso-position-vertical:absolute;width:265.30pt;height:141.70pt;mso-wrap-distance-left:9.00pt;mso-wrap-distance-top:0.00pt;mso-wrap-distance-right:9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rFonts w:ascii="Muller Medium" w:hAnsi="Muller Medium" w:cs="Times New Roman"/>
          <w:sz w:val="32"/>
          <w:szCs w:val="32"/>
        </w:rPr>
      </w:r>
    </w:p>
    <w:p>
      <w:pPr>
        <w:pStyle w:val="668"/>
        <w:widowControl w:val="true"/>
        <w:pBdr/>
        <w:spacing/>
        <w:ind w:firstLine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sz w:val="32"/>
          <w:szCs w:val="32"/>
        </w:rPr>
      </w:r>
      <w:r>
        <w:rPr>
          <w:rFonts w:ascii="Muller Medium" w:hAnsi="Muller Medium" w:cs="Times New Roman"/>
          <w:sz w:val="32"/>
          <w:szCs w:val="32"/>
        </w:rPr>
      </w:r>
    </w:p>
    <w:p>
      <w:pPr>
        <w:pStyle w:val="668"/>
        <w:widowControl w:val="true"/>
        <w:pBdr/>
        <w:tabs>
          <w:tab w:val="left" w:leader="none" w:pos="6135"/>
        </w:tabs>
        <w:spacing/>
        <w:ind w:firstLine="0" w:left="-567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sz w:val="32"/>
          <w:szCs w:val="32"/>
        </w:rPr>
        <w:tab/>
      </w:r>
      <w:r>
        <w:rPr>
          <w:rFonts w:ascii="Muller Medium" w:hAnsi="Muller Medium" w:cs="Times New Roman"/>
          <w:sz w:val="32"/>
          <w:szCs w:val="32"/>
        </w:rPr>
      </w:r>
    </w:p>
    <w:p>
      <w:pPr>
        <w:pStyle w:val="668"/>
        <w:widowControl w:val="true"/>
        <w:pBdr/>
        <w:tabs>
          <w:tab w:val="left" w:leader="none" w:pos="5460"/>
        </w:tabs>
        <w:spacing/>
        <w:ind w:firstLine="0" w:left="-567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  <w:r>
        <w:rPr>
          <w:rFonts w:ascii="Muller Medium" w:hAnsi="Muller Medium" w:cs="Times New Roman"/>
          <w:sz w:val="28"/>
          <w:szCs w:val="28"/>
        </w:rPr>
      </w:r>
    </w:p>
    <w:p>
      <w:pPr>
        <w:pStyle w:val="668"/>
        <w:widowControl w:val="true"/>
        <w:pBdr/>
        <w:tabs>
          <w:tab w:val="left" w:leader="none" w:pos="5805"/>
        </w:tabs>
        <w:spacing/>
        <w:ind w:firstLine="0" w:left="-567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  <w:r>
        <w:rPr>
          <w:rFonts w:ascii="Muller Medium" w:hAnsi="Muller Medium" w:cs="Times New Roman"/>
          <w:sz w:val="28"/>
          <w:szCs w:val="28"/>
        </w:rPr>
      </w:r>
    </w:p>
    <w:p>
      <w:pPr>
        <w:pStyle w:val="668"/>
        <w:widowControl w:val="true"/>
        <w:pBdr/>
        <w:tabs>
          <w:tab w:val="left" w:leader="none" w:pos="5400"/>
        </w:tabs>
        <w:spacing/>
        <w:ind w:firstLine="0" w:left="-567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  <w:tab/>
      </w:r>
      <w:r>
        <w:rPr>
          <w:rFonts w:ascii="Muller Medium" w:hAnsi="Muller Medium" w:cs="Times New Roman"/>
          <w:sz w:val="28"/>
          <w:szCs w:val="28"/>
        </w:rPr>
      </w:r>
    </w:p>
    <w:p>
      <w:pPr>
        <w:pStyle w:val="668"/>
        <w:widowControl w:val="true"/>
        <w:pBdr/>
        <w:spacing/>
        <w:ind w:firstLine="0" w:left="-567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ascii="Muller Medium" w:hAnsi="Muller Medium" w:cs="Times New Roman"/>
          <w:sz w:val="28"/>
          <w:szCs w:val="28"/>
        </w:rPr>
      </w:r>
      <w:r>
        <w:rPr>
          <w:rFonts w:ascii="Muller Medium" w:hAnsi="Muller Medium" w:cs="Times New Roman"/>
          <w:sz w:val="28"/>
          <w:szCs w:val="28"/>
        </w:rPr>
      </w:r>
    </w:p>
    <w:p>
      <w:pPr>
        <w:pStyle w:val="668"/>
        <w:widowControl w:val="true"/>
        <w:pBdr/>
        <w:spacing/>
        <w:ind w:firstLine="0" w:left="-567"/>
        <w:jc w:val="center"/>
        <w:rPr>
          <w:rFonts w:ascii="Montserrat" w:hAnsi="Montserrat" w:cs="Times New Roman"/>
          <w:b/>
          <w:sz w:val="32"/>
          <w:szCs w:val="32"/>
        </w:rPr>
      </w:pPr>
      <w:r>
        <w:rPr>
          <w:rFonts w:ascii="Montserrat" w:hAnsi="Montserrat" w:cs="Times New Roman"/>
          <w:b/>
          <w:sz w:val="32"/>
          <w:szCs w:val="32"/>
        </w:rPr>
        <w:t xml:space="preserve">ОБЩЕСТВО С ОГРАНИЧЕННОЙ ОТВЕТСТВЕННОСТЬЮ</w:t>
      </w:r>
      <w:r>
        <w:rPr>
          <w:rFonts w:ascii="Montserrat" w:hAnsi="Montserrat" w:cs="Times New Roman"/>
          <w:b/>
          <w:sz w:val="32"/>
          <w:szCs w:val="32"/>
        </w:rPr>
      </w:r>
    </w:p>
    <w:p>
      <w:pPr>
        <w:pBdr>
          <w:bottom w:val="single" w:color="000000" w:sz="4" w:space="1"/>
        </w:pBdr>
        <w:spacing w:after="0" w:line="240" w:lineRule="auto"/>
        <w:ind w:left="-567"/>
        <w:jc w:val="center"/>
        <w:outlineLvl w:val="0"/>
        <w:rPr>
          <w:rFonts w:ascii="Montserrat" w:hAnsi="Montserrat"/>
          <w:b/>
          <w:bCs/>
          <w:sz w:val="30"/>
          <w:szCs w:val="30"/>
        </w:rPr>
      </w:pPr>
      <w:r>
        <w:rPr>
          <w:rFonts w:ascii="Montserrat" w:hAnsi="Montserrat"/>
          <w:b/>
          <w:bCs/>
          <w:sz w:val="30"/>
          <w:szCs w:val="30"/>
        </w:rPr>
        <w:t xml:space="preserve">«САМРЭК - ЭКСПЛУАТАЦИЯ»</w:t>
      </w:r>
      <w:r>
        <w:rPr>
          <w:rFonts w:ascii="Montserrat" w:hAnsi="Montserrat"/>
          <w:b/>
          <w:bCs/>
          <w:sz w:val="30"/>
          <w:szCs w:val="30"/>
        </w:rPr>
      </w:r>
    </w:p>
    <w:p>
      <w:pPr>
        <w:pBdr/>
        <w:spacing w:after="0" w:line="240" w:lineRule="auto"/>
        <w:ind/>
        <w:jc w:val="center"/>
        <w:outlineLvl w:val="0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Юр. адрес: 443072 Самарская область, г. Самара, территория Опытная станция по садоводству, здание 11А, офис 5</w:t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Почтовый адрес: 443080, г. Самара, Московское шоссе, 55, оф. 212</w:t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ОГРН 1136315000469 ИНН 6315648332 КПП 631201001</w:t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 w:after="0" w:line="240" w:lineRule="auto"/>
        <w:ind/>
        <w:jc w:val="center"/>
        <w:outlineLvl w:val="0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тел</w:t>
      </w:r>
      <w:r>
        <w:rPr>
          <w:rFonts w:ascii="Montserrat" w:hAnsi="Montserrat"/>
          <w:b/>
          <w:sz w:val="16"/>
          <w:szCs w:val="16"/>
        </w:rPr>
        <w:t xml:space="preserve">. (846) 212-02-76, </w:t>
      </w:r>
      <w:r>
        <w:rPr>
          <w:rFonts w:ascii="Montserrat" w:hAnsi="Montserrat"/>
          <w:b/>
          <w:sz w:val="16"/>
          <w:szCs w:val="16"/>
          <w:lang w:val="en-US"/>
        </w:rPr>
        <w:t xml:space="preserve">e</w:t>
      </w:r>
      <w:r>
        <w:rPr>
          <w:rFonts w:ascii="Montserrat" w:hAnsi="Montserrat"/>
          <w:b/>
          <w:sz w:val="16"/>
          <w:szCs w:val="16"/>
        </w:rPr>
        <w:t xml:space="preserve">-</w:t>
      </w:r>
      <w:r>
        <w:rPr>
          <w:rFonts w:ascii="Montserrat" w:hAnsi="Montserrat"/>
          <w:b/>
          <w:sz w:val="16"/>
          <w:szCs w:val="16"/>
          <w:lang w:val="en-US"/>
        </w:rPr>
        <w:t xml:space="preserve">mail</w:t>
      </w:r>
      <w:r>
        <w:rPr>
          <w:rFonts w:ascii="Montserrat" w:hAnsi="Montserrat"/>
          <w:b/>
          <w:sz w:val="16"/>
          <w:szCs w:val="16"/>
        </w:rPr>
        <w:t xml:space="preserve">: </w:t>
      </w:r>
      <w:hyperlink r:id="rId9" w:tooltip="mailto:samrecexp@samrec.ru" w:history="1"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samrecexp</w:t>
        </w:r>
        <w:r>
          <w:rPr>
            <w:rStyle w:val="667"/>
            <w:rFonts w:ascii="Montserrat" w:hAnsi="Montserrat"/>
            <w:b/>
            <w:sz w:val="16"/>
            <w:szCs w:val="16"/>
          </w:rPr>
          <w:t xml:space="preserve">@</w:t>
        </w:r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samrec</w:t>
        </w:r>
        <w:r>
          <w:rPr>
            <w:rStyle w:val="667"/>
            <w:rFonts w:ascii="Montserrat" w:hAnsi="Montserrat"/>
            <w:b/>
            <w:sz w:val="16"/>
            <w:szCs w:val="16"/>
          </w:rPr>
          <w:t xml:space="preserve">.</w:t>
        </w:r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ru</w:t>
        </w:r>
      </w:hyperlink>
      <w:r>
        <w:rPr>
          <w:rFonts w:ascii="Montserrat" w:hAnsi="Montserrat"/>
          <w:b/>
          <w:sz w:val="16"/>
          <w:szCs w:val="16"/>
        </w:rPr>
        <w:t xml:space="preserve">, </w:t>
      </w:r>
      <w:hyperlink r:id="rId10" w:tooltip="http://www.samrec-x.ru" w:history="1"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www</w:t>
        </w:r>
        <w:r>
          <w:rPr>
            <w:rStyle w:val="667"/>
            <w:rFonts w:ascii="Montserrat" w:hAnsi="Montserrat"/>
            <w:b/>
            <w:sz w:val="16"/>
            <w:szCs w:val="16"/>
          </w:rPr>
          <w:t xml:space="preserve">.</w:t>
        </w:r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samrec</w:t>
        </w:r>
        <w:r>
          <w:rPr>
            <w:rStyle w:val="667"/>
            <w:rFonts w:ascii="Montserrat" w:hAnsi="Montserrat"/>
            <w:b/>
            <w:sz w:val="16"/>
            <w:szCs w:val="16"/>
          </w:rPr>
          <w:t xml:space="preserve">-</w:t>
        </w:r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x</w:t>
        </w:r>
        <w:r>
          <w:rPr>
            <w:rStyle w:val="667"/>
            <w:rFonts w:ascii="Montserrat" w:hAnsi="Montserrat"/>
            <w:b/>
            <w:sz w:val="16"/>
            <w:szCs w:val="16"/>
          </w:rPr>
          <w:t xml:space="preserve">.</w:t>
        </w:r>
        <w:r>
          <w:rPr>
            <w:rStyle w:val="667"/>
            <w:rFonts w:ascii="Montserrat" w:hAnsi="Montserrat"/>
            <w:b/>
            <w:sz w:val="16"/>
            <w:szCs w:val="16"/>
            <w:lang w:val="en-US"/>
          </w:rPr>
          <w:t xml:space="preserve">ru</w:t>
        </w:r>
      </w:hyperlink>
      <w:r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</w:r>
    </w:p>
    <w:p>
      <w:pPr>
        <w:pBdr/>
        <w:spacing/>
        <w:ind w:firstLine="708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/>
        <w:ind w:firstLine="1279" w:left="2832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Реквизиты </w:t>
      </w:r>
      <w:r>
        <w:rPr>
          <w:rFonts w:asciiTheme="minorHAnsi" w:hAnsiTheme="minorHAnsi"/>
          <w:b/>
          <w:sz w:val="32"/>
          <w:szCs w:val="32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Полное наименование: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Общество с ограниченной ответственностью 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-Эксплуатация»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Сокращенное наименование</w:t>
      </w:r>
      <w:r>
        <w:rPr>
          <w:rFonts w:asciiTheme="minorHAnsi" w:hAnsiTheme="minorHAnsi"/>
          <w:sz w:val="28"/>
          <w:szCs w:val="28"/>
        </w:rPr>
        <w:t xml:space="preserve">: ООО</w:t>
      </w:r>
      <w:r>
        <w:rPr>
          <w:rFonts w:asciiTheme="minorHAnsi" w:hAnsiTheme="minorHAnsi"/>
          <w:sz w:val="28"/>
          <w:szCs w:val="28"/>
        </w:rPr>
        <w:t xml:space="preserve"> «</w:t>
      </w:r>
      <w:r>
        <w:rPr>
          <w:rFonts w:asciiTheme="minorHAnsi" w:hAnsiTheme="minorHAnsi"/>
          <w:sz w:val="28"/>
          <w:szCs w:val="28"/>
        </w:rPr>
        <w:t xml:space="preserve">СамРЭК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Эксплуатация»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Юридический адрес:</w:t>
      </w:r>
      <w:r>
        <w:t xml:space="preserve"> </w:t>
      </w:r>
      <w:r>
        <w:rPr>
          <w:rFonts w:asciiTheme="minorHAnsi" w:hAnsiTheme="minorHAnsi"/>
          <w:sz w:val="28"/>
          <w:szCs w:val="28"/>
        </w:rPr>
        <w:t xml:space="preserve">443072, Самарская область, г. Самара, территория Опытная Станция по Садоводству, Здание 11А, офис 5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sz w:val="28"/>
          <w:szCs w:val="28"/>
        </w:rPr>
        <w:t xml:space="preserve">Почтовый адрес: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443080, г. Самара, Московское шоссе, 55, </w:t>
      </w:r>
      <w:r>
        <w:rPr>
          <w:rFonts w:asciiTheme="minorHAnsi" w:hAnsiTheme="minorHAnsi"/>
          <w:sz w:val="28"/>
          <w:szCs w:val="28"/>
        </w:rPr>
        <w:t xml:space="preserve">оф. 201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тел </w:t>
      </w:r>
      <w:r>
        <w:rPr>
          <w:rFonts w:asciiTheme="minorHAnsi" w:hAnsiTheme="minorHAnsi"/>
          <w:sz w:val="28"/>
          <w:szCs w:val="28"/>
        </w:rPr>
        <w:t xml:space="preserve">/факс </w:t>
      </w:r>
      <w:r>
        <w:rPr>
          <w:rFonts w:asciiTheme="minorHAnsi" w:hAnsiTheme="minorHAnsi"/>
          <w:sz w:val="28"/>
          <w:szCs w:val="28"/>
        </w:rPr>
        <w:t xml:space="preserve">212-02-7</w:t>
      </w:r>
      <w:r>
        <w:rPr>
          <w:rFonts w:asciiTheme="minorHAnsi" w:hAnsiTheme="minorHAnsi"/>
          <w:sz w:val="28"/>
          <w:szCs w:val="28"/>
        </w:rPr>
        <w:t xml:space="preserve">6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тел</w:t>
      </w:r>
      <w:r>
        <w:rPr>
          <w:rFonts w:asciiTheme="minorHAnsi" w:hAnsiTheme="minorHAnsi"/>
          <w:sz w:val="28"/>
          <w:szCs w:val="28"/>
        </w:rPr>
        <w:t xml:space="preserve">.</w:t>
      </w:r>
      <w:r>
        <w:rPr>
          <w:rFonts w:asciiTheme="minorHAnsi" w:hAnsiTheme="minorHAnsi"/>
          <w:sz w:val="28"/>
          <w:szCs w:val="28"/>
        </w:rPr>
        <w:t xml:space="preserve">бух</w:t>
      </w:r>
      <w:r>
        <w:rPr>
          <w:rFonts w:asciiTheme="minorHAnsi" w:hAnsiTheme="minorHAnsi"/>
          <w:sz w:val="28"/>
          <w:szCs w:val="28"/>
        </w:rPr>
        <w:t xml:space="preserve">:  </w:t>
      </w:r>
      <w:r>
        <w:rPr>
          <w:rFonts w:asciiTheme="minorHAnsi" w:hAnsiTheme="minorHAnsi"/>
          <w:sz w:val="28"/>
          <w:szCs w:val="28"/>
        </w:rPr>
        <w:t xml:space="preserve"> 212-02-77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E</w:t>
      </w:r>
      <w:r>
        <w:rPr>
          <w:rFonts w:asciiTheme="minorHAnsi" w:hAnsiTheme="minorHAnsi"/>
          <w:sz w:val="28"/>
          <w:szCs w:val="28"/>
        </w:rPr>
        <w:t xml:space="preserve">-</w:t>
      </w:r>
      <w:r>
        <w:rPr>
          <w:rFonts w:asciiTheme="minorHAnsi" w:hAnsiTheme="minorHAnsi"/>
          <w:sz w:val="28"/>
          <w:szCs w:val="28"/>
          <w:lang w:val="en-US"/>
        </w:rPr>
        <w:t xml:space="preserve">mail</w:t>
      </w:r>
      <w:r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sz w:val="28"/>
          <w:szCs w:val="28"/>
          <w:lang w:val="en-US"/>
        </w:rPr>
        <w:t xml:space="preserve">samrecexp</w:t>
      </w:r>
      <w:r>
        <w:rPr>
          <w:rFonts w:asciiTheme="minorHAnsi" w:hAnsiTheme="minorHAnsi"/>
          <w:sz w:val="28"/>
          <w:szCs w:val="28"/>
        </w:rPr>
        <w:t xml:space="preserve">@</w:t>
      </w:r>
      <w:r>
        <w:rPr>
          <w:rFonts w:asciiTheme="minorHAnsi" w:hAnsiTheme="minorHAnsi"/>
          <w:sz w:val="28"/>
          <w:szCs w:val="28"/>
          <w:lang w:val="en-US"/>
        </w:rPr>
        <w:t xml:space="preserve">samrec</w:t>
      </w:r>
      <w:r>
        <w:rPr>
          <w:rFonts w:asciiTheme="minorHAnsi" w:hAnsiTheme="minorHAnsi"/>
          <w:sz w:val="28"/>
          <w:szCs w:val="28"/>
        </w:rPr>
        <w:t xml:space="preserve">.</w:t>
      </w:r>
      <w:r>
        <w:rPr>
          <w:rFonts w:asciiTheme="minorHAnsi" w:hAnsiTheme="minorHAnsi"/>
          <w:sz w:val="28"/>
          <w:szCs w:val="28"/>
          <w:lang w:val="en-US"/>
        </w:rPr>
        <w:t xml:space="preserve">ru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ИНН</w:t>
      </w:r>
      <w:r>
        <w:rPr>
          <w:rFonts w:asciiTheme="minorHAnsi" w:hAnsiTheme="minorHAnsi"/>
          <w:sz w:val="28"/>
          <w:szCs w:val="28"/>
        </w:rPr>
        <w:t xml:space="preserve"> 6315648332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КПП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631</w:t>
      </w:r>
      <w:r>
        <w:rPr>
          <w:rFonts w:asciiTheme="minorHAnsi" w:hAnsiTheme="minorHAnsi"/>
          <w:sz w:val="28"/>
          <w:szCs w:val="28"/>
        </w:rPr>
        <w:t xml:space="preserve">2</w:t>
      </w:r>
      <w:r>
        <w:rPr>
          <w:rFonts w:asciiTheme="minorHAnsi" w:hAnsiTheme="minorHAnsi"/>
          <w:sz w:val="28"/>
          <w:szCs w:val="28"/>
        </w:rPr>
        <w:t xml:space="preserve">01001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ОКПО 21109630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ОКОПФ </w:t>
      </w:r>
      <w:r>
        <w:rPr>
          <w:rFonts w:asciiTheme="minorHAnsi" w:hAnsiTheme="minorHAnsi"/>
          <w:sz w:val="28"/>
          <w:szCs w:val="28"/>
        </w:rPr>
        <w:t xml:space="preserve">12300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ОКВЭД </w:t>
      </w:r>
      <w:r>
        <w:rPr>
          <w:sz w:val="28"/>
          <w:szCs w:val="28"/>
        </w:rPr>
        <w:t xml:space="preserve">35.30 (основной), 35.11, 35.13, 35.30.1, 35.30.14, 35.30.2, 35.30.3, 35.30.4, 35.30.5, 36.00.1, 36.00.2, 37.00, 71.20.1</w:t>
      </w:r>
      <w:r>
        <w:rPr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ОГРН 1136315000469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Банковские реквизиты: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Расчетный счет </w:t>
      </w:r>
      <w:r>
        <w:rPr>
          <w:rFonts w:asciiTheme="minorHAnsi" w:hAnsiTheme="minorHAnsi"/>
          <w:sz w:val="28"/>
          <w:szCs w:val="28"/>
        </w:rPr>
        <w:t xml:space="preserve">407 028 105 030 000 203 57</w:t>
      </w:r>
      <w:r>
        <w:rPr>
          <w:rFonts w:asciiTheme="minorHAnsi" w:hAnsiTheme="minorHAnsi"/>
          <w:sz w:val="28"/>
          <w:szCs w:val="28"/>
        </w:rPr>
        <w:t xml:space="preserve"> в </w:t>
      </w:r>
      <w:r>
        <w:rPr>
          <w:rFonts w:asciiTheme="minorHAnsi" w:hAnsiTheme="minorHAnsi"/>
          <w:sz w:val="28"/>
          <w:szCs w:val="28"/>
        </w:rPr>
        <w:t xml:space="preserve">ПАО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«</w:t>
      </w:r>
      <w:r>
        <w:rPr>
          <w:rFonts w:asciiTheme="minorHAnsi" w:hAnsiTheme="minorHAnsi"/>
          <w:sz w:val="28"/>
          <w:szCs w:val="28"/>
        </w:rPr>
        <w:t xml:space="preserve">Промсвязьбанк</w:t>
      </w:r>
      <w:r>
        <w:rPr>
          <w:rFonts w:asciiTheme="minorHAnsi" w:hAnsiTheme="minorHAnsi"/>
          <w:sz w:val="28"/>
          <w:szCs w:val="28"/>
        </w:rPr>
        <w:t xml:space="preserve">»</w:t>
      </w:r>
      <w:r>
        <w:rPr>
          <w:rFonts w:asciiTheme="minorHAnsi" w:hAnsiTheme="minorHAnsi"/>
          <w:sz w:val="28"/>
          <w:szCs w:val="28"/>
        </w:rPr>
        <w:t xml:space="preserve"> Приволжский филиал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к/с </w:t>
      </w:r>
      <w:r>
        <w:rPr>
          <w:rFonts w:asciiTheme="minorHAnsi" w:hAnsiTheme="minorHAnsi"/>
          <w:sz w:val="28"/>
          <w:szCs w:val="28"/>
        </w:rPr>
        <w:t xml:space="preserve">301 018 107 000 000 008 03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БИК </w:t>
      </w:r>
      <w:r>
        <w:rPr>
          <w:rFonts w:asciiTheme="minorHAnsi" w:hAnsiTheme="minorHAnsi"/>
          <w:sz w:val="28"/>
          <w:szCs w:val="28"/>
        </w:rPr>
        <w:t xml:space="preserve">042202803</w:t>
      </w:r>
      <w:r>
        <w:rPr>
          <w:rFonts w:asciiTheme="minorHAnsi" w:hAnsiTheme="minorHAnsi"/>
          <w:sz w:val="28"/>
          <w:szCs w:val="28"/>
        </w:rPr>
      </w:r>
    </w:p>
    <w:p>
      <w:pPr>
        <w:pBdr/>
        <w:spacing w:after="0"/>
        <w:ind/>
        <w:jc w:val="both"/>
        <w:rPr>
          <w:rFonts w:cs="Arial" w:asciiTheme="minorHAnsi" w:hAnsiTheme="minorHAnsi"/>
        </w:rPr>
      </w:pPr>
      <w:r>
        <w:rPr>
          <w:rFonts w:cs="Arial" w:asciiTheme="minorHAnsi" w:hAnsiTheme="minorHAnsi"/>
        </w:rPr>
      </w:r>
      <w:r>
        <w:rPr>
          <w:rFonts w:cs="Arial" w:asciiTheme="minorHAnsi" w:hAnsiTheme="minorHAnsi"/>
        </w:rPr>
      </w:r>
    </w:p>
    <w:p>
      <w:pPr>
        <w:pBdr/>
        <w:spacing/>
        <w:ind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Генеральный</w:t>
      </w:r>
      <w:r>
        <w:rPr>
          <w:rFonts w:asciiTheme="minorHAnsi" w:hAnsiTheme="minorHAnsi"/>
          <w:b/>
          <w:sz w:val="28"/>
          <w:szCs w:val="28"/>
        </w:rPr>
        <w:t xml:space="preserve"> директор </w:t>
      </w:r>
      <w:r>
        <w:rPr>
          <w:rFonts w:asciiTheme="minorHAnsi" w:hAnsiTheme="minorHAnsi"/>
          <w:sz w:val="28"/>
          <w:szCs w:val="28"/>
        </w:rPr>
        <w:t xml:space="preserve">                  </w:t>
      </w:r>
      <w:r>
        <w:rPr>
          <w:rFonts w:asciiTheme="minorHAnsi" w:hAnsiTheme="minorHAnsi"/>
          <w:sz w:val="28"/>
          <w:szCs w:val="28"/>
        </w:rPr>
        <w:t xml:space="preserve">               </w:t>
      </w:r>
      <w:bookmarkStart w:id="0" w:name="_GoBack"/>
      <w:r/>
      <w:bookmarkEnd w:id="0"/>
      <w:r>
        <w:rPr>
          <w:rFonts w:asciiTheme="minorHAnsi" w:hAnsiTheme="minorHAnsi"/>
          <w:sz w:val="28"/>
          <w:szCs w:val="28"/>
        </w:rPr>
        <w:t xml:space="preserve">           </w:t>
      </w:r>
      <w:r>
        <w:rPr>
          <w:rFonts w:asciiTheme="minorHAnsi" w:hAnsiTheme="minorHAnsi"/>
          <w:sz w:val="28"/>
          <w:szCs w:val="28"/>
        </w:rPr>
        <w:t xml:space="preserve">Федоров Константин Юрьевич</w:t>
      </w:r>
      <w:r>
        <w:rPr>
          <w:rFonts w:asciiTheme="minorHAnsi" w:hAnsiTheme="minorHAnsi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ller Medium">
    <w:panose1 w:val="050401020108070707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Montserrat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>
    <w:name w:val="Balloon Text"/>
    <w:basedOn w:val="660"/>
    <w:link w:val="665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61"/>
    <w:link w:val="664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paragraph" w:styleId="666">
    <w:name w:val="No Spacing"/>
    <w:uiPriority w:val="1"/>
    <w:qFormat/>
    <w:pPr>
      <w:pBdr/>
      <w:spacing w:after="0" w:line="240" w:lineRule="auto"/>
      <w:ind/>
    </w:pPr>
    <w:rPr>
      <w:rFonts w:ascii="Calibri" w:hAnsi="Calibri" w:eastAsia="Times New Roman" w:cs="Times New Roman"/>
      <w:lang w:eastAsia="ru-RU"/>
    </w:rPr>
  </w:style>
  <w:style w:type="character" w:styleId="667">
    <w:name w:val="Hyperlink"/>
    <w:basedOn w:val="661"/>
    <w:uiPriority w:val="99"/>
    <w:pPr>
      <w:pBdr/>
      <w:spacing/>
      <w:ind/>
    </w:pPr>
    <w:rPr>
      <w:color w:val="0000ff"/>
      <w:u w:val="single"/>
    </w:rPr>
  </w:style>
  <w:style w:type="paragraph" w:styleId="668" w:customStyle="1">
    <w:name w:val="ConsPlusNormal"/>
    <w:pPr>
      <w:widowControl w:val="false"/>
      <w:pBdr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samrecexp@samrec.ru" TargetMode="External"/><Relationship Id="rId10" Type="http://schemas.openxmlformats.org/officeDocument/2006/relationships/hyperlink" Target="http://www.samrec-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А.И.</dc:creator>
  <cp:keywords/>
  <dc:description/>
  <cp:revision>26</cp:revision>
  <dcterms:created xsi:type="dcterms:W3CDTF">2013-06-14T06:45:00Z</dcterms:created>
  <dcterms:modified xsi:type="dcterms:W3CDTF">2025-05-16T06:40:24Z</dcterms:modified>
</cp:coreProperties>
</file>